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16E60C">
      <w:pPr>
        <w:widowControl/>
        <w:jc w:val="center"/>
        <w:rPr>
          <w:rFonts w:hint="eastAsia" w:ascii="方正小标宋简体" w:hAnsi="黑体" w:eastAsia="方正小标宋简体" w:cs="仿宋_GB2312"/>
          <w:sz w:val="44"/>
          <w:szCs w:val="44"/>
        </w:rPr>
      </w:pPr>
      <w:bookmarkStart w:id="0" w:name="OLE_LINK1"/>
      <w:bookmarkStart w:id="1" w:name="OLE_LINK2"/>
      <w:r>
        <w:rPr>
          <w:rFonts w:hint="eastAsia" w:ascii="方正小标宋简体" w:hAnsi="黑体" w:eastAsia="方正小标宋简体" w:cs="仿宋_GB2312"/>
          <w:sz w:val="44"/>
          <w:szCs w:val="44"/>
        </w:rPr>
        <w:t>哈尔滨工程大学教材</w:t>
      </w:r>
      <w:r>
        <w:rPr>
          <w:rFonts w:hint="eastAsia" w:ascii="方正小标宋简体" w:hAnsi="黑体" w:eastAsia="方正小标宋简体" w:cs="仿宋_GB2312"/>
          <w:sz w:val="44"/>
          <w:szCs w:val="44"/>
          <w:lang w:val="en-US" w:eastAsia="zh-CN"/>
        </w:rPr>
        <w:t>选用</w:t>
      </w:r>
      <w:r>
        <w:rPr>
          <w:rFonts w:hint="eastAsia" w:ascii="方正小标宋简体" w:hAnsi="黑体" w:eastAsia="方正小标宋简体" w:cs="仿宋_GB2312"/>
          <w:sz w:val="44"/>
          <w:szCs w:val="44"/>
        </w:rPr>
        <w:t>审批表</w:t>
      </w:r>
    </w:p>
    <w:p w14:paraId="1B6C7735">
      <w:pPr>
        <w:widowControl/>
        <w:jc w:val="center"/>
        <w:rPr>
          <w:rFonts w:hint="eastAsia" w:ascii="方正小标宋简体" w:hAnsi="黑体" w:eastAsia="方正小标宋简体" w:cs="仿宋_GB2312"/>
          <w:sz w:val="44"/>
          <w:szCs w:val="44"/>
        </w:rPr>
      </w:pPr>
    </w:p>
    <w:bookmarkEnd w:id="0"/>
    <w:bookmarkEnd w:id="1"/>
    <w:p w14:paraId="5DA6C6B8">
      <w:pPr>
        <w:widowControl/>
        <w:jc w:val="center"/>
        <w:rPr>
          <w:rFonts w:ascii="Times New Roman" w:hAnsi="Times New Roman" w:eastAsia="黑体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黑体"/>
          <w:color w:val="000000"/>
          <w:kern w:val="0"/>
          <w:sz w:val="32"/>
          <w:szCs w:val="32"/>
          <w:lang w:bidi="ar"/>
        </w:rPr>
        <w:t>一、教材基本情况</w:t>
      </w:r>
    </w:p>
    <w:tbl>
      <w:tblPr>
        <w:tblStyle w:val="4"/>
        <w:tblW w:w="100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0"/>
        <w:gridCol w:w="4466"/>
        <w:gridCol w:w="1843"/>
        <w:gridCol w:w="1690"/>
      </w:tblGrid>
      <w:tr w14:paraId="4E177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50" w:type="dxa"/>
            <w:shd w:val="clear" w:color="auto" w:fill="auto"/>
            <w:vAlign w:val="center"/>
          </w:tcPr>
          <w:p w14:paraId="2CF54AB3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  <w:t>教材名称</w:t>
            </w:r>
          </w:p>
        </w:tc>
        <w:tc>
          <w:tcPr>
            <w:tcW w:w="7999" w:type="dxa"/>
            <w:gridSpan w:val="3"/>
            <w:shd w:val="clear" w:color="auto" w:fill="auto"/>
            <w:vAlign w:val="center"/>
          </w:tcPr>
          <w:p w14:paraId="2D8E7B28"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08240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50" w:type="dxa"/>
            <w:shd w:val="clear" w:color="auto" w:fill="auto"/>
            <w:vAlign w:val="center"/>
          </w:tcPr>
          <w:p w14:paraId="781423CF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教材</w:t>
            </w: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  <w:t>形式</w:t>
            </w:r>
          </w:p>
        </w:tc>
        <w:tc>
          <w:tcPr>
            <w:tcW w:w="7999" w:type="dxa"/>
            <w:gridSpan w:val="3"/>
            <w:shd w:val="clear" w:color="auto" w:fill="auto"/>
            <w:vAlign w:val="center"/>
          </w:tcPr>
          <w:p w14:paraId="5C140C2D"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纸质教材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数字教材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纸质教材带数字资源</w:t>
            </w:r>
          </w:p>
        </w:tc>
      </w:tr>
      <w:tr w14:paraId="7AF96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5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2BDABB9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  <w:t>出版单位</w:t>
            </w:r>
          </w:p>
        </w:tc>
        <w:tc>
          <w:tcPr>
            <w:tcW w:w="446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1719307">
            <w:pPr>
              <w:widowControl/>
              <w:rPr>
                <w:rFonts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84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D223D92"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出版及再版</w:t>
            </w: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  <w:t>时间</w:t>
            </w:r>
          </w:p>
        </w:tc>
        <w:tc>
          <w:tcPr>
            <w:tcW w:w="169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5A0F590">
            <w:pPr>
              <w:widowControl/>
              <w:jc w:val="center"/>
              <w:rPr>
                <w:rFonts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71E48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50" w:type="dxa"/>
            <w:shd w:val="clear" w:color="auto" w:fill="auto"/>
            <w:vAlign w:val="center"/>
          </w:tcPr>
          <w:p w14:paraId="38262C05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  <w:t>适用课程</w:t>
            </w:r>
          </w:p>
          <w:p w14:paraId="4C2D33BB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  <w:t>及编号</w:t>
            </w:r>
          </w:p>
        </w:tc>
        <w:tc>
          <w:tcPr>
            <w:tcW w:w="4466" w:type="dxa"/>
            <w:shd w:val="clear" w:color="auto" w:fill="auto"/>
            <w:vAlign w:val="center"/>
          </w:tcPr>
          <w:p w14:paraId="7D2666EB">
            <w:pPr>
              <w:widowControl/>
              <w:jc w:val="center"/>
              <w:rPr>
                <w:rFonts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5269C43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  <w:t>学时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2C22DE53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14:paraId="4746D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50" w:type="dxa"/>
            <w:shd w:val="clear" w:color="auto" w:fill="auto"/>
            <w:vAlign w:val="center"/>
          </w:tcPr>
          <w:p w14:paraId="5C41263A">
            <w:pPr>
              <w:widowControl/>
              <w:jc w:val="center"/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  <w:t>教材使用层次</w:t>
            </w:r>
          </w:p>
        </w:tc>
        <w:tc>
          <w:tcPr>
            <w:tcW w:w="4466" w:type="dxa"/>
            <w:shd w:val="clear" w:color="auto" w:fill="auto"/>
            <w:vAlign w:val="center"/>
          </w:tcPr>
          <w:p w14:paraId="44E5EA8A">
            <w:pPr>
              <w:widowControl/>
              <w:jc w:val="center"/>
              <w:rPr>
                <w:rFonts w:ascii="Times New Roman" w:hAnsi="Times New Roman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本科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研究生</w:t>
            </w:r>
            <w:bookmarkStart w:id="4" w:name="_GoBack"/>
            <w:bookmarkEnd w:id="4"/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其他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A617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学校自编</w:t>
            </w:r>
          </w:p>
          <w:p w14:paraId="16F552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教材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6FB5D374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是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否</w:t>
            </w:r>
          </w:p>
        </w:tc>
      </w:tr>
    </w:tbl>
    <w:p w14:paraId="5D4788DA">
      <w:pPr>
        <w:widowControl/>
        <w:jc w:val="center"/>
        <w:rPr>
          <w:rFonts w:hint="eastAsia" w:ascii="Times New Roman" w:hAnsi="Times New Roman" w:eastAsia="黑体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黑体"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ascii="Times New Roman" w:hAnsi="Times New Roman" w:eastAsia="黑体"/>
          <w:color w:val="000000"/>
          <w:kern w:val="0"/>
          <w:sz w:val="32"/>
          <w:szCs w:val="32"/>
          <w:lang w:bidi="ar"/>
        </w:rPr>
        <w:t>、</w:t>
      </w:r>
      <w:r>
        <w:rPr>
          <w:rFonts w:hint="eastAsia" w:ascii="Times New Roman" w:hAnsi="Times New Roman" w:eastAsia="黑体"/>
          <w:color w:val="000000"/>
          <w:kern w:val="0"/>
          <w:sz w:val="32"/>
          <w:szCs w:val="32"/>
          <w:lang w:bidi="ar"/>
        </w:rPr>
        <w:t>自查评价</w:t>
      </w:r>
    </w:p>
    <w:tbl>
      <w:tblPr>
        <w:tblStyle w:val="5"/>
        <w:tblW w:w="99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9"/>
      </w:tblGrid>
      <w:tr w14:paraId="4AD32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69" w:type="dxa"/>
          </w:tcPr>
          <w:p w14:paraId="4ACCC058">
            <w:pPr>
              <w:widowControl/>
              <w:spacing w:line="420" w:lineRule="exact"/>
              <w:ind w:firstLine="480" w:firstLineChars="200"/>
              <w:rPr>
                <w:rFonts w:ascii="Times New Roman" w:hAnsi="Times New Roman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经自查，本教材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政治方向与价值导向正确，</w:t>
            </w: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符合社会主义核心价值观的要求；教材内容紧扣学科前沿动态和核心知识体系，逻辑清晰、层次分明，能够满足课程教学需要，符合教育教学规律和人才培养规律。</w:t>
            </w:r>
          </w:p>
          <w:p w14:paraId="24B28783">
            <w:pPr>
              <w:widowControl/>
              <w:spacing w:line="360" w:lineRule="exact"/>
              <w:ind w:firstLine="480" w:firstLineChars="200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</w:p>
          <w:p w14:paraId="07C59895">
            <w:pPr>
              <w:widowControl/>
              <w:wordWrap w:val="0"/>
              <w:spacing w:line="360" w:lineRule="exact"/>
              <w:ind w:firstLine="480" w:firstLineChars="200"/>
              <w:jc w:val="right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</w:p>
          <w:p w14:paraId="483F8381">
            <w:pPr>
              <w:widowControl/>
              <w:wordWrap/>
              <w:spacing w:line="360" w:lineRule="exact"/>
              <w:ind w:firstLine="480" w:firstLineChars="200"/>
              <w:jc w:val="right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</w:p>
          <w:p w14:paraId="6BB957EC">
            <w:pPr>
              <w:widowControl/>
              <w:wordWrap/>
              <w:spacing w:line="360" w:lineRule="exact"/>
              <w:ind w:firstLine="480" w:firstLineChars="200"/>
              <w:jc w:val="right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</w:p>
          <w:p w14:paraId="371B369F">
            <w:pPr>
              <w:widowControl/>
              <w:wordWrap w:val="0"/>
              <w:spacing w:line="360" w:lineRule="exact"/>
              <w:ind w:firstLine="480" w:firstLineChars="200"/>
              <w:jc w:val="right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</w:p>
          <w:p w14:paraId="7CCC0093">
            <w:pPr>
              <w:widowControl/>
              <w:wordWrap w:val="0"/>
              <w:spacing w:line="360" w:lineRule="exact"/>
              <w:ind w:firstLine="480" w:firstLineChars="200"/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val="en-US" w:eastAsia="zh-CN" w:bidi="ar"/>
              </w:rPr>
              <w:t xml:space="preserve">        课程负责人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 xml:space="preserve">签字： </w:t>
            </w:r>
            <w:r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 xml:space="preserve">  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 xml:space="preserve">  年  月  日</w:t>
            </w:r>
            <w:r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 xml:space="preserve">                      </w:t>
            </w:r>
          </w:p>
          <w:p w14:paraId="747515D3">
            <w:pPr>
              <w:widowControl/>
              <w:wordWrap w:val="0"/>
              <w:spacing w:line="360" w:lineRule="exact"/>
              <w:ind w:firstLine="480" w:firstLineChars="200"/>
              <w:jc w:val="right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 xml:space="preserve">               </w:t>
            </w:r>
          </w:p>
        </w:tc>
      </w:tr>
    </w:tbl>
    <w:p w14:paraId="4899DAA6">
      <w:pPr>
        <w:widowControl/>
        <w:jc w:val="center"/>
        <w:rPr>
          <w:rFonts w:ascii="Times New Roman" w:hAnsi="Times New Roman" w:eastAsia="仿宋_GB2312" w:cs="仿宋_GB2312"/>
          <w:color w:val="000000"/>
          <w:kern w:val="0"/>
          <w:sz w:val="24"/>
          <w:lang w:bidi="ar"/>
        </w:rPr>
      </w:pPr>
      <w:r>
        <w:rPr>
          <w:rFonts w:ascii="Times New Roman" w:hAnsi="Times New Roman" w:eastAsia="仿宋_GB2312" w:cs="仿宋_GB2312"/>
          <w:color w:val="000000"/>
          <w:kern w:val="0"/>
          <w:sz w:val="24"/>
          <w:lang w:bidi="ar"/>
        </w:rPr>
        <w:br w:type="page"/>
      </w:r>
    </w:p>
    <w:p w14:paraId="50DC31BF">
      <w:pPr>
        <w:widowControl/>
        <w:jc w:val="center"/>
        <w:rPr>
          <w:rFonts w:ascii="Times New Roman" w:hAnsi="Times New Roman" w:eastAsia="黑体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黑体"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ascii="Times New Roman" w:hAnsi="Times New Roman" w:eastAsia="黑体"/>
          <w:color w:val="000000"/>
          <w:kern w:val="0"/>
          <w:sz w:val="32"/>
          <w:szCs w:val="32"/>
          <w:lang w:bidi="ar"/>
        </w:rPr>
        <w:t>、审核意见</w:t>
      </w:r>
    </w:p>
    <w:tbl>
      <w:tblPr>
        <w:tblStyle w:val="4"/>
        <w:tblW w:w="97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1223"/>
        <w:gridCol w:w="6325"/>
        <w:gridCol w:w="1378"/>
      </w:tblGrid>
      <w:tr w14:paraId="024C1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871" w:type="dxa"/>
            <w:vMerge w:val="restart"/>
            <w:shd w:val="clear" w:color="auto" w:fill="auto"/>
            <w:vAlign w:val="center"/>
          </w:tcPr>
          <w:p w14:paraId="77C0D374">
            <w:pPr>
              <w:widowControl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教学单位教材</w:t>
            </w:r>
          </w:p>
          <w:p w14:paraId="166358C0">
            <w:pPr>
              <w:widowControl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工作</w:t>
            </w:r>
          </w:p>
          <w:p w14:paraId="0444C3AB">
            <w:pPr>
              <w:widowControl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小组</w:t>
            </w:r>
          </w:p>
          <w:p w14:paraId="1DF0C725">
            <w:pPr>
              <w:widowControl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审核</w:t>
            </w:r>
          </w:p>
          <w:p w14:paraId="39149ADA">
            <w:pPr>
              <w:widowControl/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意见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278FB58C">
            <w:pPr>
              <w:widowControl/>
              <w:jc w:val="center"/>
              <w:rPr>
                <w:rFonts w:ascii="Times New Roman" w:hAnsi="Times New Roman" w:eastAsia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  <w:lang w:bidi="ar"/>
              </w:rPr>
              <w:t>一级指标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41DCC7BF">
            <w:pPr>
              <w:widowControl/>
              <w:jc w:val="center"/>
              <w:rPr>
                <w:rFonts w:ascii="Times New Roman" w:hAnsi="Times New Roman" w:eastAsia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  <w:lang w:bidi="ar"/>
              </w:rPr>
              <w:t>二级指标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1DA9486C">
            <w:pPr>
              <w:widowControl/>
              <w:jc w:val="center"/>
              <w:rPr>
                <w:rFonts w:ascii="Times New Roman" w:hAnsi="Times New Roman" w:eastAsia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  <w:lang w:bidi="ar"/>
              </w:rPr>
              <w:t>审核意见</w:t>
            </w:r>
          </w:p>
        </w:tc>
      </w:tr>
      <w:tr w14:paraId="3E1F2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871" w:type="dxa"/>
            <w:vMerge w:val="continue"/>
            <w:shd w:val="clear" w:color="auto" w:fill="auto"/>
            <w:vAlign w:val="center"/>
          </w:tcPr>
          <w:p w14:paraId="3304F3A4">
            <w:pPr>
              <w:widowControl/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23" w:type="dxa"/>
            <w:vMerge w:val="restart"/>
            <w:shd w:val="clear" w:color="auto" w:fill="auto"/>
            <w:vAlign w:val="center"/>
          </w:tcPr>
          <w:p w14:paraId="6003AFEB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val="en-US" w:eastAsia="zh-CN" w:bidi="ar"/>
              </w:rPr>
              <w:t>思想性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4F446272">
            <w:pPr>
              <w:widowControl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  <w:lang w:bidi="ar"/>
              </w:rPr>
              <w:t>价值导向正确：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val="en-US" w:eastAsia="zh-CN" w:bidi="ar"/>
              </w:rPr>
              <w:t>政治方向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正确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eastAsia="zh-CN" w:bidi="ar"/>
              </w:rPr>
              <w:t>，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内容积极向上，选文作者历史评价或社会形象正面，无争议。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0D818D87">
            <w:pPr>
              <w:widowControl/>
              <w:jc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□是 □否</w:t>
            </w:r>
          </w:p>
        </w:tc>
      </w:tr>
      <w:tr w14:paraId="277A9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871" w:type="dxa"/>
            <w:vMerge w:val="continue"/>
            <w:shd w:val="clear" w:color="auto" w:fill="auto"/>
            <w:vAlign w:val="center"/>
          </w:tcPr>
          <w:p w14:paraId="59872494">
            <w:pPr>
              <w:widowControl/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23" w:type="dxa"/>
            <w:vMerge w:val="continue"/>
            <w:shd w:val="clear" w:color="auto" w:fill="auto"/>
            <w:vAlign w:val="center"/>
          </w:tcPr>
          <w:p w14:paraId="309336CE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325" w:type="dxa"/>
            <w:shd w:val="clear" w:color="auto" w:fill="auto"/>
            <w:vAlign w:val="center"/>
          </w:tcPr>
          <w:p w14:paraId="1233CEE3">
            <w:pPr>
              <w:widowControl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  <w:lang w:bidi="ar"/>
              </w:rPr>
              <w:t>意识形态风险：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教材中涉及敏感话题或不当言论，存在违反国家法律法规、方针政策的内容，价值导向与社会主义核心价值观存在偏差。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6894973B">
            <w:pPr>
              <w:widowControl/>
              <w:jc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□有 □无</w:t>
            </w:r>
          </w:p>
        </w:tc>
      </w:tr>
      <w:tr w14:paraId="21549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871" w:type="dxa"/>
            <w:vMerge w:val="continue"/>
            <w:shd w:val="clear" w:color="auto" w:fill="auto"/>
            <w:vAlign w:val="center"/>
          </w:tcPr>
          <w:p w14:paraId="0B5B1D5C">
            <w:pPr>
              <w:widowControl/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23" w:type="dxa"/>
            <w:vMerge w:val="restart"/>
            <w:shd w:val="clear" w:color="auto" w:fill="auto"/>
            <w:vAlign w:val="center"/>
          </w:tcPr>
          <w:p w14:paraId="41821050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科学性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35B8A840">
            <w:pPr>
              <w:widowControl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  <w:lang w:bidi="ar"/>
              </w:rPr>
              <w:t>内容准确无误：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知识内容准确，概念、原理、公式、数据等符合学科领域的科学共识和客观事实，无知识性错误或误导性信息。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081B7B44">
            <w:pPr>
              <w:widowControl/>
              <w:jc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□是 □否</w:t>
            </w:r>
          </w:p>
        </w:tc>
      </w:tr>
      <w:tr w14:paraId="47DA7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871" w:type="dxa"/>
            <w:vMerge w:val="continue"/>
            <w:shd w:val="clear" w:color="auto" w:fill="auto"/>
            <w:vAlign w:val="center"/>
          </w:tcPr>
          <w:p w14:paraId="4C485AC0">
            <w:pPr>
              <w:widowControl/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23" w:type="dxa"/>
            <w:vMerge w:val="continue"/>
            <w:shd w:val="clear" w:color="auto" w:fill="auto"/>
            <w:vAlign w:val="center"/>
          </w:tcPr>
          <w:p w14:paraId="0ECE43E1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325" w:type="dxa"/>
            <w:shd w:val="clear" w:color="auto" w:fill="auto"/>
            <w:vAlign w:val="center"/>
          </w:tcPr>
          <w:p w14:paraId="1A0ED732">
            <w:pPr>
              <w:widowControl/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  <w:lang w:bidi="ar"/>
              </w:rPr>
              <w:t>知识体系完整：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系统地呈现该学科方向的全貌，无重要知识点和学习内容遗漏。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46626571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□是 □否</w:t>
            </w:r>
          </w:p>
        </w:tc>
      </w:tr>
      <w:tr w14:paraId="2A5BA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871" w:type="dxa"/>
            <w:vMerge w:val="continue"/>
            <w:shd w:val="clear" w:color="auto" w:fill="auto"/>
            <w:vAlign w:val="center"/>
          </w:tcPr>
          <w:p w14:paraId="4A01DE78">
            <w:pPr>
              <w:widowControl/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23" w:type="dxa"/>
            <w:vMerge w:val="restart"/>
            <w:shd w:val="clear" w:color="auto" w:fill="auto"/>
            <w:vAlign w:val="center"/>
          </w:tcPr>
          <w:p w14:paraId="44C07F54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先进性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7E19C46">
            <w:pPr>
              <w:widowControl/>
              <w:rPr>
                <w:rFonts w:ascii="Times New Roman" w:hAnsi="Times New Roman" w:eastAsia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  <w:lang w:bidi="ar"/>
              </w:rPr>
              <w:t>紧跟学科前沿：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反映相关学科最新科研进展，充分吸收学科、行业的新知识、新方法和新成果。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1534EC58">
            <w:pPr>
              <w:widowControl/>
              <w:jc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□是 □否</w:t>
            </w:r>
          </w:p>
        </w:tc>
      </w:tr>
      <w:tr w14:paraId="0D627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871" w:type="dxa"/>
            <w:vMerge w:val="continue"/>
            <w:shd w:val="clear" w:color="auto" w:fill="auto"/>
            <w:vAlign w:val="center"/>
          </w:tcPr>
          <w:p w14:paraId="6C6D6954">
            <w:pPr>
              <w:widowControl/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23" w:type="dxa"/>
            <w:vMerge w:val="continue"/>
            <w:shd w:val="clear" w:color="auto" w:fill="auto"/>
            <w:vAlign w:val="center"/>
          </w:tcPr>
          <w:p w14:paraId="3C6EB187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325" w:type="dxa"/>
            <w:shd w:val="clear" w:color="auto" w:fill="auto"/>
            <w:vAlign w:val="center"/>
          </w:tcPr>
          <w:p w14:paraId="7D9D652D">
            <w:pPr>
              <w:widowControl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  <w:lang w:bidi="ar"/>
              </w:rPr>
              <w:t>教学理念创新：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以学生为中心，融合信息化教学手段和案例式、项目式先进教学理念。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1A3F6716">
            <w:pPr>
              <w:widowControl/>
              <w:jc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□是 □否</w:t>
            </w:r>
          </w:p>
        </w:tc>
      </w:tr>
      <w:tr w14:paraId="0E4D2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871" w:type="dxa"/>
            <w:vMerge w:val="continue"/>
            <w:shd w:val="clear" w:color="auto" w:fill="auto"/>
            <w:vAlign w:val="center"/>
          </w:tcPr>
          <w:p w14:paraId="73DEB08B">
            <w:pPr>
              <w:widowControl/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23" w:type="dxa"/>
            <w:vMerge w:val="restart"/>
            <w:shd w:val="clear" w:color="auto" w:fill="auto"/>
            <w:vAlign w:val="center"/>
          </w:tcPr>
          <w:p w14:paraId="4127BB2F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适用性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C44C920">
            <w:pPr>
              <w:widowControl/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  <w:lang w:bidi="ar"/>
              </w:rPr>
              <w:t>契合教学目标：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符合学校办学定位、人才培养目标和课程教学要求，能够促进教学目标达成。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65E49C4D">
            <w:pPr>
              <w:widowControl/>
              <w:jc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是 □否</w:t>
            </w:r>
          </w:p>
        </w:tc>
      </w:tr>
      <w:tr w14:paraId="3ED0C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871" w:type="dxa"/>
            <w:vMerge w:val="continue"/>
            <w:shd w:val="clear" w:color="auto" w:fill="auto"/>
            <w:vAlign w:val="center"/>
          </w:tcPr>
          <w:p w14:paraId="29DD93FB">
            <w:pPr>
              <w:widowControl/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23" w:type="dxa"/>
            <w:vMerge w:val="continue"/>
            <w:shd w:val="clear" w:color="auto" w:fill="auto"/>
            <w:vAlign w:val="center"/>
          </w:tcPr>
          <w:p w14:paraId="059744E9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325" w:type="dxa"/>
            <w:shd w:val="clear" w:color="auto" w:fill="auto"/>
            <w:vAlign w:val="center"/>
          </w:tcPr>
          <w:p w14:paraId="123AEF98">
            <w:pPr>
              <w:widowControl/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  <w:lang w:bidi="ar"/>
              </w:rPr>
              <w:t>适宜学生学习：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教材内容的难度和深度与学生的认知水平相匹配，能够引导学生主动参与学习过程。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0B05DDC5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是 □否</w:t>
            </w:r>
          </w:p>
        </w:tc>
      </w:tr>
      <w:tr w14:paraId="1E5ED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871" w:type="dxa"/>
            <w:vMerge w:val="continue"/>
            <w:shd w:val="clear" w:color="auto" w:fill="auto"/>
            <w:vAlign w:val="center"/>
          </w:tcPr>
          <w:p w14:paraId="63BA4F60">
            <w:pPr>
              <w:widowControl/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23" w:type="dxa"/>
            <w:vMerge w:val="continue"/>
            <w:shd w:val="clear" w:color="auto" w:fill="auto"/>
            <w:vAlign w:val="center"/>
          </w:tcPr>
          <w:p w14:paraId="662EDC42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325" w:type="dxa"/>
            <w:shd w:val="clear" w:color="auto" w:fill="auto"/>
            <w:vAlign w:val="center"/>
          </w:tcPr>
          <w:p w14:paraId="2EC4CA30">
            <w:pPr>
              <w:widowControl/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  <w:lang w:bidi="ar"/>
              </w:rPr>
              <w:t>适宜学生学习：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教材内容的难度和深度与学生的认知水平相匹配，能够引导学生主动参与学习过程。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4E8D50BA">
            <w:pPr>
              <w:widowControl/>
              <w:jc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□是 □否</w:t>
            </w:r>
          </w:p>
        </w:tc>
      </w:tr>
      <w:tr w14:paraId="7A41D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871" w:type="dxa"/>
            <w:vMerge w:val="continue"/>
            <w:shd w:val="clear" w:color="auto" w:fill="auto"/>
            <w:vAlign w:val="center"/>
          </w:tcPr>
          <w:p w14:paraId="6F2980AC">
            <w:pPr>
              <w:widowControl/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23" w:type="dxa"/>
            <w:vMerge w:val="restart"/>
            <w:shd w:val="clear" w:color="auto" w:fill="auto"/>
            <w:vAlign w:val="center"/>
          </w:tcPr>
          <w:p w14:paraId="263A37B4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规范性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277B98D">
            <w:pPr>
              <w:widowControl/>
              <w:rPr>
                <w:rFonts w:ascii="Times New Roman" w:hAnsi="Times New Roman" w:eastAsia="仿宋_GB2312" w:cs="仿宋_GB2312"/>
                <w:b/>
                <w:color w:val="000000"/>
                <w:kern w:val="0"/>
                <w:sz w:val="24"/>
                <w:lang w:bidi="ar"/>
              </w:rPr>
            </w:pPr>
            <w:bookmarkStart w:id="2" w:name="OLE_LINK3"/>
            <w:bookmarkStart w:id="3" w:name="OLE_LINK4"/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  <w:lang w:bidi="ar"/>
              </w:rPr>
              <w:t>语言文字规范</w:t>
            </w:r>
            <w:bookmarkEnd w:id="2"/>
            <w:bookmarkEnd w:id="3"/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  <w:lang w:bidi="ar"/>
              </w:rPr>
              <w:t>：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语言文字规范、准确、流畅，无错别字、语法错误等问题；使用的专业术语符合学科规范和行业标准。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661622CC">
            <w:pPr>
              <w:widowControl/>
              <w:jc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□是 □否</w:t>
            </w:r>
          </w:p>
        </w:tc>
      </w:tr>
      <w:tr w14:paraId="01528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871" w:type="dxa"/>
            <w:vMerge w:val="continue"/>
            <w:shd w:val="clear" w:color="auto" w:fill="auto"/>
            <w:vAlign w:val="center"/>
          </w:tcPr>
          <w:p w14:paraId="1CD27E24">
            <w:pPr>
              <w:widowControl/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23" w:type="dxa"/>
            <w:vMerge w:val="continue"/>
            <w:shd w:val="clear" w:color="auto" w:fill="auto"/>
            <w:vAlign w:val="center"/>
          </w:tcPr>
          <w:p w14:paraId="523DD988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325" w:type="dxa"/>
            <w:shd w:val="clear" w:color="auto" w:fill="auto"/>
            <w:vAlign w:val="center"/>
          </w:tcPr>
          <w:p w14:paraId="29CF27ED">
            <w:pPr>
              <w:widowControl/>
              <w:rPr>
                <w:rFonts w:ascii="Times New Roman" w:hAnsi="Times New Roman" w:eastAsia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  <w:lang w:bidi="ar"/>
              </w:rPr>
              <w:t>编印质量精良：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编排合理，版式美观、清晰，图文配合恰当，便于学生阅读和理解。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0B3B69B2">
            <w:pPr>
              <w:widowControl/>
              <w:jc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□是 □否</w:t>
            </w:r>
          </w:p>
        </w:tc>
      </w:tr>
      <w:tr w14:paraId="3994D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0" w:hRule="atLeast"/>
          <w:jc w:val="center"/>
        </w:trPr>
        <w:tc>
          <w:tcPr>
            <w:tcW w:w="871" w:type="dxa"/>
            <w:vMerge w:val="continue"/>
            <w:shd w:val="clear" w:color="auto" w:fill="auto"/>
            <w:vAlign w:val="center"/>
          </w:tcPr>
          <w:p w14:paraId="3535B273">
            <w:pPr>
              <w:widowControl/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926" w:type="dxa"/>
            <w:gridSpan w:val="3"/>
            <w:shd w:val="clear" w:color="auto" w:fill="auto"/>
          </w:tcPr>
          <w:p w14:paraId="7BB45BCD">
            <w:pPr>
              <w:widowControl/>
              <w:spacing w:line="400" w:lineRule="exact"/>
              <w:ind w:firstLine="480" w:firstLineChars="200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xxx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学院教材工作小组严格落实《哈尔滨工程大学教材管理办法》和《xxx学院教材管理规定细则》，对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val="en-US" w:eastAsia="zh-CN" w:bidi="ar"/>
              </w:rPr>
              <w:t>所选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教材内容进行全面审核，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val="en-US" w:eastAsia="zh-CN" w:bidi="ar"/>
              </w:rPr>
              <w:t>该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教材政治方向和价值导向正确、内容科学先进、满足人才培养需要，不存在思想性与学术性问题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eastAsia="zh-CN" w:bidi="ar"/>
              </w:rPr>
              <w:t>，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经集体充分讨论，审核结论为通过，同意使用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此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教材。</w:t>
            </w:r>
          </w:p>
          <w:p w14:paraId="6D7B79C3">
            <w:pPr>
              <w:widowControl/>
              <w:jc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</w:p>
          <w:p w14:paraId="69003470">
            <w:pPr>
              <w:widowControl/>
              <w:jc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</w:p>
          <w:p w14:paraId="16198AF3">
            <w:pPr>
              <w:widowControl/>
              <w:ind w:firstLine="2160" w:firstLineChars="900"/>
              <w:jc w:val="both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申报单位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教材工作小组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val="en-US" w:eastAsia="zh-CN" w:bidi="ar"/>
              </w:rPr>
              <w:t>组长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签字：</w:t>
            </w:r>
          </w:p>
          <w:p w14:paraId="20FD5785">
            <w:pPr>
              <w:widowControl/>
              <w:ind w:firstLine="2160" w:firstLineChars="900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申报单位公章：</w:t>
            </w:r>
          </w:p>
        </w:tc>
      </w:tr>
    </w:tbl>
    <w:p w14:paraId="6B4CF6A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51D"/>
    <w:rsid w:val="0004206F"/>
    <w:rsid w:val="00046ED3"/>
    <w:rsid w:val="000812FB"/>
    <w:rsid w:val="000F1428"/>
    <w:rsid w:val="00105061"/>
    <w:rsid w:val="001154CA"/>
    <w:rsid w:val="0018158F"/>
    <w:rsid w:val="001B0BD8"/>
    <w:rsid w:val="00264CD9"/>
    <w:rsid w:val="0027525C"/>
    <w:rsid w:val="00342F0D"/>
    <w:rsid w:val="00362B80"/>
    <w:rsid w:val="004047A2"/>
    <w:rsid w:val="004611E1"/>
    <w:rsid w:val="0052181D"/>
    <w:rsid w:val="00522CE3"/>
    <w:rsid w:val="00587661"/>
    <w:rsid w:val="005B4880"/>
    <w:rsid w:val="005F4B5C"/>
    <w:rsid w:val="00632655"/>
    <w:rsid w:val="00662E33"/>
    <w:rsid w:val="00664894"/>
    <w:rsid w:val="006A5259"/>
    <w:rsid w:val="006C375F"/>
    <w:rsid w:val="006D24CC"/>
    <w:rsid w:val="006F42C8"/>
    <w:rsid w:val="00700DF0"/>
    <w:rsid w:val="007121FA"/>
    <w:rsid w:val="00726813"/>
    <w:rsid w:val="00734305"/>
    <w:rsid w:val="0075250B"/>
    <w:rsid w:val="007B0F1F"/>
    <w:rsid w:val="007B61D4"/>
    <w:rsid w:val="007C12B4"/>
    <w:rsid w:val="007D7B06"/>
    <w:rsid w:val="007E528B"/>
    <w:rsid w:val="00804B29"/>
    <w:rsid w:val="0080749B"/>
    <w:rsid w:val="00815C00"/>
    <w:rsid w:val="00890146"/>
    <w:rsid w:val="008B0714"/>
    <w:rsid w:val="008B28FD"/>
    <w:rsid w:val="008B314B"/>
    <w:rsid w:val="008D3D15"/>
    <w:rsid w:val="008E6466"/>
    <w:rsid w:val="00915A4F"/>
    <w:rsid w:val="00924447"/>
    <w:rsid w:val="009479E3"/>
    <w:rsid w:val="00952A34"/>
    <w:rsid w:val="00976FF1"/>
    <w:rsid w:val="009E4618"/>
    <w:rsid w:val="00A6051D"/>
    <w:rsid w:val="00A865D2"/>
    <w:rsid w:val="00A960E3"/>
    <w:rsid w:val="00A970DD"/>
    <w:rsid w:val="00AA0821"/>
    <w:rsid w:val="00B3328E"/>
    <w:rsid w:val="00BF643C"/>
    <w:rsid w:val="00C0725B"/>
    <w:rsid w:val="00C62A5A"/>
    <w:rsid w:val="00C8237A"/>
    <w:rsid w:val="00C97197"/>
    <w:rsid w:val="00CA057C"/>
    <w:rsid w:val="00CD7146"/>
    <w:rsid w:val="00D10246"/>
    <w:rsid w:val="00D6236E"/>
    <w:rsid w:val="00D840A3"/>
    <w:rsid w:val="00DA7786"/>
    <w:rsid w:val="00DB4AAB"/>
    <w:rsid w:val="00DB5965"/>
    <w:rsid w:val="00E73E96"/>
    <w:rsid w:val="00F453CF"/>
    <w:rsid w:val="00F45E44"/>
    <w:rsid w:val="00F851AB"/>
    <w:rsid w:val="00F969B4"/>
    <w:rsid w:val="00F97ECB"/>
    <w:rsid w:val="00FA72D3"/>
    <w:rsid w:val="00FB2732"/>
    <w:rsid w:val="07DD313F"/>
    <w:rsid w:val="131555DD"/>
    <w:rsid w:val="242001D4"/>
    <w:rsid w:val="5CC45B20"/>
    <w:rsid w:val="65490C5F"/>
    <w:rsid w:val="67170865"/>
    <w:rsid w:val="6E2466E9"/>
    <w:rsid w:val="71F628A2"/>
    <w:rsid w:val="7555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rPr>
      <w:rFonts w:eastAsia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No Spacing"/>
    <w:qFormat/>
    <w:uiPriority w:val="1"/>
    <w:pPr>
      <w:widowControl w:val="0"/>
    </w:pPr>
    <w:rPr>
      <w:rFonts w:ascii="等线" w:hAnsi="等线" w:eastAsia="仿宋_GB2312" w:cs="Times New Roman"/>
      <w:kern w:val="2"/>
      <w:sz w:val="28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931</Words>
  <Characters>935</Characters>
  <Lines>12</Lines>
  <Paragraphs>3</Paragraphs>
  <TotalTime>3</TotalTime>
  <ScaleCrop>false</ScaleCrop>
  <LinksUpToDate>false</LinksUpToDate>
  <CharactersWithSpaces>1020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2025-01-07T08:05:00Z</dcterms:created>
  <dc:creator>王丽楠</dc:creator>
  <cp:lastModifiedBy>WPS_1715345717</cp:lastModifiedBy>
  <cp:lastPrinted>2025-01-13T07:21:00Z</cp:lastPrinted>
  <dcterms:modified xsi:type="dcterms:W3CDTF">2025-06-03T08:23:37Z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eyJoZGlkIjoiMmVjMjljYWJjMTUzODMzZDgxYzMzMTlmZWRhMDFmM2IiLCJ1c2VySWQiOiIxNTk4MDg1MzA5In0=</vt:lpwstr>
  </property>
  <property fmtid="{D5CDD505-2E9C-101B-9397-08002B2CF9AE}" pid="3" name="KSOProductBuildVer">
    <vt:lpwstr>2052-12.1.0.21171</vt:lpwstr>
  </property>
  <property fmtid="{D5CDD505-2E9C-101B-9397-08002B2CF9AE}" pid="4" name="ICV">
    <vt:lpwstr>2F70ABDD6CFB4B64964D38A220C2296E_13</vt:lpwstr>
  </property>
</Properties>
</file>